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DE48" w14:textId="58BAD509" w:rsidR="00B87CE2" w:rsidRPr="0021279D" w:rsidRDefault="00B87CE2" w:rsidP="00717A2A">
      <w:pPr>
        <w:snapToGrid w:val="0"/>
        <w:jc w:val="center"/>
        <w:rPr>
          <w:rFonts w:ascii="Baskerville" w:hAnsi="Baskerville"/>
        </w:rPr>
      </w:pPr>
      <w:r w:rsidRPr="0021279D">
        <w:rPr>
          <w:rFonts w:ascii="Baskerville" w:hAnsi="Baskerville"/>
        </w:rPr>
        <w:t>Department Faculty Meeting</w:t>
      </w:r>
    </w:p>
    <w:p w14:paraId="128BAB0A" w14:textId="50319E49" w:rsidR="00B87CE2" w:rsidRPr="0021279D" w:rsidRDefault="00717A2A" w:rsidP="00717A2A">
      <w:pPr>
        <w:snapToGrid w:val="0"/>
        <w:jc w:val="center"/>
        <w:rPr>
          <w:rFonts w:ascii="Baskerville" w:hAnsi="Baskerville"/>
        </w:rPr>
      </w:pPr>
      <w:r w:rsidRPr="0021279D">
        <w:rPr>
          <w:rFonts w:ascii="Baskerville" w:hAnsi="Baskerville"/>
        </w:rPr>
        <w:t xml:space="preserve">Friday, </w:t>
      </w:r>
      <w:r w:rsidR="003A7F6B">
        <w:rPr>
          <w:rFonts w:ascii="Baskerville" w:hAnsi="Baskerville"/>
        </w:rPr>
        <w:t>April 9</w:t>
      </w:r>
      <w:r w:rsidRPr="0021279D">
        <w:rPr>
          <w:rFonts w:ascii="Baskerville" w:hAnsi="Baskerville"/>
        </w:rPr>
        <w:t>, 202</w:t>
      </w:r>
      <w:r w:rsidR="00E0505E" w:rsidRPr="0021279D">
        <w:rPr>
          <w:rFonts w:ascii="Baskerville" w:hAnsi="Baskerville"/>
        </w:rPr>
        <w:t>1</w:t>
      </w:r>
      <w:r w:rsidRPr="0021279D">
        <w:rPr>
          <w:rFonts w:ascii="Baskerville" w:hAnsi="Baskerville"/>
        </w:rPr>
        <w:t>, 3:30pm</w:t>
      </w:r>
    </w:p>
    <w:p w14:paraId="0D0E8D16" w14:textId="6A7FE34F" w:rsidR="00717A2A" w:rsidRPr="003A7F6B" w:rsidRDefault="00717A2A" w:rsidP="00717A2A">
      <w:pPr>
        <w:snapToGrid w:val="0"/>
        <w:jc w:val="center"/>
        <w:rPr>
          <w:rFonts w:ascii="Baskerville" w:hAnsi="Baskerville"/>
        </w:rPr>
      </w:pPr>
      <w:r w:rsidRPr="0021279D">
        <w:rPr>
          <w:rFonts w:ascii="Baskerville" w:hAnsi="Baskerville"/>
        </w:rPr>
        <w:t>Lo</w:t>
      </w:r>
      <w:r w:rsidRPr="003A7F6B">
        <w:rPr>
          <w:rFonts w:ascii="Baskerville" w:hAnsi="Baskerville"/>
        </w:rPr>
        <w:t>cation: Zoom</w:t>
      </w:r>
      <w:r w:rsidR="005461FE" w:rsidRPr="003A7F6B">
        <w:rPr>
          <w:rFonts w:ascii="Baskerville" w:hAnsi="Baskerville"/>
        </w:rPr>
        <w:t>,</w:t>
      </w:r>
      <w:r w:rsidR="00726BA7" w:rsidRPr="003A7F6B">
        <w:rPr>
          <w:rFonts w:ascii="Baskerville" w:hAnsi="Baskerville"/>
        </w:rPr>
        <w:t xml:space="preserve"> </w:t>
      </w:r>
      <w:hyperlink r:id="rId7" w:history="1">
        <w:r w:rsidR="003A7F6B" w:rsidRPr="003A7F6B">
          <w:rPr>
            <w:rStyle w:val="Hyperlink"/>
            <w:rFonts w:ascii="Baskerville" w:hAnsi="Baskerville"/>
          </w:rPr>
          <w:t>https://washington.zoom.us/j/95685462578</w:t>
        </w:r>
      </w:hyperlink>
    </w:p>
    <w:p w14:paraId="42ECE126" w14:textId="194D2CC1" w:rsidR="00717A2A" w:rsidRPr="00EB13F4" w:rsidRDefault="00717A2A" w:rsidP="00717A2A">
      <w:pPr>
        <w:snapToGrid w:val="0"/>
        <w:jc w:val="center"/>
        <w:rPr>
          <w:rFonts w:ascii="Baskerville" w:hAnsi="Baskerville"/>
          <w:color w:val="FF0000"/>
        </w:rPr>
      </w:pPr>
    </w:p>
    <w:p w14:paraId="7FAEC753" w14:textId="2FCDD00B" w:rsidR="00717A2A" w:rsidRPr="0021279D" w:rsidRDefault="00717A2A" w:rsidP="00717A2A">
      <w:pPr>
        <w:snapToGrid w:val="0"/>
        <w:jc w:val="center"/>
        <w:rPr>
          <w:rFonts w:ascii="Baskerville" w:hAnsi="Baskerville"/>
          <w:i/>
          <w:iCs/>
          <w:color w:val="C00000"/>
        </w:rPr>
      </w:pPr>
      <w:r w:rsidRPr="0021279D">
        <w:rPr>
          <w:rFonts w:ascii="Baskerville" w:hAnsi="Baskerville"/>
          <w:i/>
          <w:iCs/>
        </w:rPr>
        <w:t>Agenda</w:t>
      </w:r>
    </w:p>
    <w:p w14:paraId="06D77C4A" w14:textId="4018D54C" w:rsidR="00717A2A" w:rsidRPr="0021279D" w:rsidRDefault="00717A2A" w:rsidP="00E164CE">
      <w:pPr>
        <w:pStyle w:val="AgendaItem"/>
        <w:spacing w:before="240"/>
      </w:pPr>
      <w:r w:rsidRPr="0021279D">
        <w:rPr>
          <w:b/>
          <w:bCs/>
        </w:rPr>
        <w:t>Call to Order</w:t>
      </w:r>
    </w:p>
    <w:p w14:paraId="5A386396" w14:textId="2CB34E11" w:rsidR="00717A2A" w:rsidRPr="0021279D" w:rsidRDefault="00717A2A" w:rsidP="00717A2A">
      <w:pPr>
        <w:pStyle w:val="AgendaItem"/>
        <w:spacing w:before="240"/>
      </w:pPr>
      <w:r w:rsidRPr="0021279D">
        <w:rPr>
          <w:b/>
          <w:bCs/>
        </w:rPr>
        <w:t>Vote</w:t>
      </w:r>
      <w:r w:rsidRPr="0021279D">
        <w:t>: Approval of Minutes (</w:t>
      </w:r>
      <w:r w:rsidRPr="0021279D">
        <w:rPr>
          <w:i/>
          <w:iCs/>
        </w:rPr>
        <w:t>standing item</w:t>
      </w:r>
      <w:r w:rsidRPr="0021279D">
        <w:t xml:space="preserve">; </w:t>
      </w:r>
      <w:r w:rsidR="003A7F6B">
        <w:t>Hamm</w:t>
      </w:r>
      <w:r w:rsidRPr="0021279D">
        <w:t>)</w:t>
      </w:r>
      <w:r w:rsidR="00F063C6" w:rsidRPr="00F063C6">
        <w:t xml:space="preserve"> </w:t>
      </w:r>
    </w:p>
    <w:p w14:paraId="61F468C8" w14:textId="4530591D" w:rsidR="00717A2A" w:rsidRPr="002C0813" w:rsidRDefault="00717A2A" w:rsidP="00717A2A">
      <w:pPr>
        <w:pStyle w:val="AgendaItem"/>
        <w:spacing w:before="240"/>
      </w:pPr>
      <w:r w:rsidRPr="002C0813">
        <w:rPr>
          <w:b/>
          <w:bCs/>
        </w:rPr>
        <w:t>Update</w:t>
      </w:r>
      <w:r w:rsidRPr="002C0813">
        <w:t>: Brief Announcements (</w:t>
      </w:r>
      <w:r w:rsidRPr="002C0813">
        <w:rPr>
          <w:i/>
          <w:iCs/>
        </w:rPr>
        <w:t>standing item</w:t>
      </w:r>
      <w:r w:rsidRPr="002C0813">
        <w:t>; Handel)</w:t>
      </w:r>
    </w:p>
    <w:p w14:paraId="0CF5E19E" w14:textId="738A4644" w:rsidR="006E3152" w:rsidRPr="002C0813" w:rsidRDefault="003A7F6B" w:rsidP="006E3152">
      <w:pPr>
        <w:pStyle w:val="AgendaSubitem"/>
        <w:spacing w:before="60"/>
      </w:pPr>
      <w:r w:rsidRPr="002C0813">
        <w:t>Planning</w:t>
      </w:r>
      <w:r w:rsidR="00674027" w:rsidRPr="002C0813">
        <w:t xml:space="preserve"> for </w:t>
      </w:r>
      <w:r w:rsidR="004E56E4" w:rsidRPr="002C0813">
        <w:t>Summer Quarter</w:t>
      </w:r>
      <w:r w:rsidRPr="002C0813">
        <w:t>,</w:t>
      </w:r>
      <w:r w:rsidR="004E56E4" w:rsidRPr="002C0813">
        <w:t xml:space="preserve"> </w:t>
      </w:r>
      <w:r w:rsidR="00674027" w:rsidRPr="002C0813">
        <w:t>Autumn Quarter</w:t>
      </w:r>
    </w:p>
    <w:p w14:paraId="5FA7DCB0" w14:textId="1AB69458" w:rsidR="00CD6581" w:rsidRPr="002C0813" w:rsidRDefault="006E3152" w:rsidP="006E3152">
      <w:pPr>
        <w:pStyle w:val="AgendaSubitem"/>
        <w:spacing w:before="60"/>
      </w:pPr>
      <w:r w:rsidRPr="002C0813">
        <w:t>Department Awards/C</w:t>
      </w:r>
      <w:r w:rsidR="003A7F6B" w:rsidRPr="002C0813">
        <w:t>onvocation</w:t>
      </w:r>
    </w:p>
    <w:p w14:paraId="767BAD36" w14:textId="2BADB3DB" w:rsidR="003A7F6B" w:rsidRPr="002C0813" w:rsidRDefault="003A7F6B" w:rsidP="00F063C6">
      <w:pPr>
        <w:pStyle w:val="AgendaSubitem"/>
        <w:spacing w:before="60"/>
      </w:pPr>
      <w:r w:rsidRPr="002C0813">
        <w:rPr>
          <w:rFonts w:hint="eastAsia"/>
        </w:rPr>
        <w:t>S</w:t>
      </w:r>
      <w:r w:rsidRPr="002C0813">
        <w:t>E Asian hire</w:t>
      </w:r>
    </w:p>
    <w:p w14:paraId="1FEF1AFA" w14:textId="1DAE6803" w:rsidR="003A7F6B" w:rsidRPr="002C0813" w:rsidRDefault="003A7F6B" w:rsidP="00F063C6">
      <w:pPr>
        <w:pStyle w:val="AgendaSubitem"/>
        <w:spacing w:before="60"/>
      </w:pPr>
      <w:r w:rsidRPr="002C0813">
        <w:t xml:space="preserve">Faculty Senate </w:t>
      </w:r>
      <w:r w:rsidR="00C72296" w:rsidRPr="002C0813">
        <w:t xml:space="preserve">nominations and </w:t>
      </w:r>
      <w:r w:rsidRPr="002C0813">
        <w:t>elections</w:t>
      </w:r>
    </w:p>
    <w:p w14:paraId="190A12B9" w14:textId="3668B181" w:rsidR="00CD6581" w:rsidRDefault="00CD6581" w:rsidP="006E3152">
      <w:pPr>
        <w:pStyle w:val="AgendaSubitem"/>
        <w:spacing w:before="60"/>
      </w:pPr>
      <w:r w:rsidRPr="002C0813">
        <w:rPr>
          <w:rFonts w:hint="eastAsia"/>
        </w:rPr>
        <w:t>U</w:t>
      </w:r>
      <w:r w:rsidRPr="002C0813">
        <w:t>ser Authorization Agreement for accessing UW web pages</w:t>
      </w:r>
    </w:p>
    <w:p w14:paraId="0E5B6CF9" w14:textId="77777777" w:rsidR="00421B18" w:rsidRDefault="00421B18" w:rsidP="00421B18">
      <w:pPr>
        <w:pStyle w:val="AgendaSubitem"/>
        <w:spacing w:before="60"/>
        <w:rPr>
          <w:u w:val="single"/>
        </w:rPr>
      </w:pPr>
      <w:r>
        <w:rPr>
          <w:rFonts w:hint="eastAsia"/>
        </w:rPr>
        <w:t>D</w:t>
      </w:r>
      <w:r>
        <w:t>ebrief of search process (best practices for future searches) – April 16, 3:30-5:00</w:t>
      </w:r>
    </w:p>
    <w:p w14:paraId="64703272" w14:textId="77777777" w:rsidR="00421B18" w:rsidRPr="0021279D" w:rsidRDefault="00421B18" w:rsidP="00421B18">
      <w:pPr>
        <w:pStyle w:val="AgendaSubitem"/>
        <w:spacing w:before="60"/>
        <w:rPr>
          <w:u w:val="single"/>
        </w:rPr>
      </w:pPr>
      <w:r>
        <w:rPr>
          <w:u w:val="single"/>
        </w:rPr>
        <w:t>Items</w:t>
      </w:r>
      <w:r w:rsidRPr="0021279D">
        <w:rPr>
          <w:u w:val="single"/>
        </w:rPr>
        <w:t xml:space="preserve"> for future faculty meetings</w:t>
      </w:r>
      <w:r>
        <w:rPr>
          <w:u w:val="single"/>
        </w:rPr>
        <w:t xml:space="preserve"> (not today)</w:t>
      </w:r>
      <w:r w:rsidRPr="0041452E">
        <w:t xml:space="preserve"> (</w:t>
      </w:r>
      <w:r>
        <w:t>listed here so we won’t forget</w:t>
      </w:r>
      <w:r w:rsidRPr="003A7F6B">
        <w:t>)</w:t>
      </w:r>
    </w:p>
    <w:p w14:paraId="3F4C1CC6" w14:textId="77777777" w:rsidR="00421B18" w:rsidRDefault="00421B18" w:rsidP="00421B18">
      <w:pPr>
        <w:pStyle w:val="AgendaSubitem"/>
        <w:numPr>
          <w:ilvl w:val="2"/>
          <w:numId w:val="3"/>
        </w:numPr>
        <w:spacing w:before="60"/>
        <w:ind w:left="1170" w:hanging="210"/>
      </w:pPr>
      <w:r w:rsidRPr="0021279D">
        <w:t>Reconsider role of ASIAN-prefixed courses</w:t>
      </w:r>
    </w:p>
    <w:p w14:paraId="65F8BE34" w14:textId="77777777" w:rsidR="00421B18" w:rsidRPr="0021279D" w:rsidRDefault="00421B18" w:rsidP="00421B18">
      <w:pPr>
        <w:pStyle w:val="AgendaSubitem"/>
        <w:numPr>
          <w:ilvl w:val="2"/>
          <w:numId w:val="3"/>
        </w:numPr>
        <w:spacing w:before="60"/>
        <w:ind w:left="1170" w:hanging="210"/>
      </w:pPr>
      <w:r>
        <w:t>Discussion of teaching-load reduction proposals</w:t>
      </w:r>
    </w:p>
    <w:p w14:paraId="5B8A7905" w14:textId="34E74E6A" w:rsidR="00717A2A" w:rsidRPr="002C0813" w:rsidRDefault="00717A2A" w:rsidP="007F4E07">
      <w:pPr>
        <w:pStyle w:val="AgendaItem"/>
        <w:spacing w:beforeLines="80" w:before="192"/>
      </w:pPr>
      <w:r w:rsidRPr="002C0813">
        <w:rPr>
          <w:b/>
          <w:bCs/>
        </w:rPr>
        <w:t>Update</w:t>
      </w:r>
      <w:r w:rsidRPr="002C0813">
        <w:t>: Faculty Senate (</w:t>
      </w:r>
      <w:r w:rsidRPr="002C0813">
        <w:rPr>
          <w:i/>
          <w:iCs/>
        </w:rPr>
        <w:t>standing item</w:t>
      </w:r>
      <w:r w:rsidRPr="002C0813">
        <w:t xml:space="preserve">; </w:t>
      </w:r>
      <w:proofErr w:type="spellStart"/>
      <w:r w:rsidRPr="002C0813">
        <w:t>Jesty</w:t>
      </w:r>
      <w:proofErr w:type="spellEnd"/>
      <w:r w:rsidRPr="002C0813">
        <w:t>)</w:t>
      </w:r>
    </w:p>
    <w:p w14:paraId="4B0129D8" w14:textId="1B54C6F6" w:rsidR="00717A2A" w:rsidRPr="002C0813" w:rsidRDefault="00265978" w:rsidP="007F4E07">
      <w:pPr>
        <w:pStyle w:val="AgendaItem"/>
        <w:spacing w:beforeLines="80" w:before="192"/>
      </w:pPr>
      <w:r w:rsidRPr="002C0813">
        <w:rPr>
          <w:b/>
          <w:bCs/>
        </w:rPr>
        <w:t>Update</w:t>
      </w:r>
      <w:r w:rsidR="00717A2A" w:rsidRPr="002C0813">
        <w:t xml:space="preserve">: </w:t>
      </w:r>
      <w:r w:rsidR="0041452E" w:rsidRPr="002C0813">
        <w:t xml:space="preserve">annual evaluation/warning procedure for graduate students </w:t>
      </w:r>
      <w:r w:rsidRPr="002C0813">
        <w:t>(</w:t>
      </w:r>
      <w:r w:rsidR="00CD6581" w:rsidRPr="002C0813">
        <w:t>Mack</w:t>
      </w:r>
      <w:r w:rsidRPr="002C0813">
        <w:t>)</w:t>
      </w:r>
    </w:p>
    <w:p w14:paraId="6FA8F60B" w14:textId="77777777" w:rsidR="00CD6581" w:rsidRPr="002C0813" w:rsidRDefault="00CD6581" w:rsidP="00CD6581">
      <w:pPr>
        <w:pStyle w:val="AgendaItem"/>
        <w:spacing w:beforeLines="80" w:before="192"/>
      </w:pPr>
      <w:r w:rsidRPr="002C0813">
        <w:rPr>
          <w:b/>
          <w:bCs/>
        </w:rPr>
        <w:t>Presentation</w:t>
      </w:r>
      <w:r w:rsidRPr="002C0813">
        <w:t>: Department social media and community outreach (Schnell)</w:t>
      </w:r>
    </w:p>
    <w:p w14:paraId="0AE83D2D" w14:textId="5286A6C8" w:rsidR="00CD6581" w:rsidRPr="002C0813" w:rsidRDefault="00CD6581" w:rsidP="00CD6581">
      <w:pPr>
        <w:pStyle w:val="AgendaItem"/>
        <w:spacing w:beforeLines="80" w:before="192"/>
      </w:pPr>
      <w:r w:rsidRPr="002C0813">
        <w:rPr>
          <w:b/>
          <w:bCs/>
        </w:rPr>
        <w:t>Presentation</w:t>
      </w:r>
      <w:r w:rsidRPr="002C0813">
        <w:t xml:space="preserve">: Activity-Based Budgeting at the College/Department level (Handel); </w:t>
      </w:r>
      <w:r w:rsidRPr="002C0813">
        <w:rPr>
          <w:i/>
          <w:iCs/>
        </w:rPr>
        <w:t>see appendix</w:t>
      </w:r>
      <w:r w:rsidR="00F42EF3">
        <w:rPr>
          <w:i/>
          <w:iCs/>
        </w:rPr>
        <w:t xml:space="preserve"> 1</w:t>
      </w:r>
    </w:p>
    <w:p w14:paraId="30AF1E05" w14:textId="4CBBAF5E" w:rsidR="003F136D" w:rsidRPr="002C0813" w:rsidRDefault="003F136D" w:rsidP="00AF65AD">
      <w:pPr>
        <w:pStyle w:val="AgendaItem"/>
        <w:spacing w:before="240"/>
      </w:pPr>
      <w:r w:rsidRPr="002C0813">
        <w:rPr>
          <w:b/>
          <w:bCs/>
        </w:rPr>
        <w:t>Discussion</w:t>
      </w:r>
      <w:r w:rsidRPr="002C0813">
        <w:t>: College Council voting</w:t>
      </w:r>
      <w:r w:rsidR="000D253D" w:rsidRPr="002C0813">
        <w:t xml:space="preserve"> (Handel)</w:t>
      </w:r>
      <w:r w:rsidR="00F42EF3" w:rsidRPr="00F42EF3">
        <w:rPr>
          <w:i/>
          <w:iCs/>
        </w:rPr>
        <w:t>; see appendix 2</w:t>
      </w:r>
    </w:p>
    <w:p w14:paraId="385ED697" w14:textId="3993D94F" w:rsidR="00AE5BB3" w:rsidRPr="002C0813" w:rsidRDefault="00972B57" w:rsidP="007F4E07">
      <w:pPr>
        <w:pStyle w:val="AgendaItem"/>
        <w:spacing w:beforeLines="80" w:before="192"/>
      </w:pPr>
      <w:r w:rsidRPr="002C0813">
        <w:rPr>
          <w:b/>
          <w:bCs/>
        </w:rPr>
        <w:t>Adjournment</w:t>
      </w:r>
    </w:p>
    <w:p w14:paraId="29D62843" w14:textId="44965B12" w:rsidR="00972B57" w:rsidRPr="0021279D" w:rsidRDefault="00972B57" w:rsidP="004A3502">
      <w:pPr>
        <w:keepNext/>
        <w:pageBreakBefore/>
        <w:rPr>
          <w:rFonts w:ascii="Baskerville" w:eastAsia="PMingLiU" w:hAnsi="Baskerville"/>
          <w:b/>
          <w:bCs/>
          <w:snapToGrid w:val="0"/>
          <w:lang w:eastAsia="ja-JP"/>
        </w:rPr>
      </w:pPr>
      <w:r w:rsidRPr="0021279D">
        <w:rPr>
          <w:rFonts w:ascii="Baskerville" w:eastAsia="PMingLiU" w:hAnsi="Baskerville"/>
          <w:b/>
          <w:bCs/>
          <w:snapToGrid w:val="0"/>
          <w:lang w:eastAsia="ja-JP"/>
        </w:rPr>
        <w:lastRenderedPageBreak/>
        <w:t>Appendix</w:t>
      </w:r>
      <w:r w:rsidR="00F42EF3">
        <w:rPr>
          <w:rFonts w:ascii="Baskerville" w:eastAsia="PMingLiU" w:hAnsi="Baskerville"/>
          <w:b/>
          <w:bCs/>
          <w:snapToGrid w:val="0"/>
          <w:lang w:eastAsia="ja-JP"/>
        </w:rPr>
        <w:t xml:space="preserve"> 1</w:t>
      </w:r>
    </w:p>
    <w:p w14:paraId="48005B7C" w14:textId="01B50C47" w:rsidR="00F20C57" w:rsidRDefault="00F20C57" w:rsidP="00972B57">
      <w:pPr>
        <w:rPr>
          <w:rFonts w:ascii="Baskerville" w:eastAsia="PMingLiU" w:hAnsi="Baskerville"/>
          <w:snapToGrid w:val="0"/>
          <w:lang w:eastAsia="ja-JP"/>
        </w:rPr>
      </w:pPr>
    </w:p>
    <w:p w14:paraId="19A4A975" w14:textId="2139B985" w:rsid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  <w:r>
        <w:rPr>
          <w:rFonts w:ascii="Baskerville" w:eastAsia="PMingLiU" w:hAnsi="Baskerville" w:hint="eastAsia"/>
          <w:snapToGrid w:val="0"/>
          <w:lang w:eastAsia="ja-JP"/>
        </w:rPr>
        <w:t>T</w:t>
      </w:r>
      <w:r>
        <w:rPr>
          <w:rFonts w:ascii="Baskerville" w:eastAsia="PMingLiU" w:hAnsi="Baskerville"/>
          <w:snapToGrid w:val="0"/>
          <w:lang w:eastAsia="ja-JP"/>
        </w:rPr>
        <w:t xml:space="preserve">he ABB (Activity-Based Budgeting) method allocates a portion of the UW’s overall budget to the Colleges and Schools according to a formula whose inputs are Student Credit Hours (SCH) and 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number of </w:t>
      </w:r>
      <w:r>
        <w:rPr>
          <w:rFonts w:ascii="Baskerville" w:eastAsia="PMingLiU" w:hAnsi="Baskerville"/>
          <w:snapToGrid w:val="0"/>
          <w:lang w:eastAsia="ja-JP"/>
        </w:rPr>
        <w:t>majors</w:t>
      </w:r>
      <w:r w:rsidR="00F47EBE">
        <w:rPr>
          <w:rFonts w:ascii="Baskerville" w:eastAsia="PMingLiU" w:hAnsi="Baskerville"/>
          <w:snapToGrid w:val="0"/>
          <w:lang w:eastAsia="ja-JP"/>
        </w:rPr>
        <w:t>, weighted at roughly 80% and 20% respectively</w:t>
      </w:r>
      <w:r>
        <w:rPr>
          <w:rFonts w:ascii="Baskerville" w:eastAsia="PMingLiU" w:hAnsi="Baskerville"/>
          <w:snapToGrid w:val="0"/>
          <w:lang w:eastAsia="ja-JP"/>
        </w:rPr>
        <w:t>. This determines the operating budget of the College of Arts &amp; Sciences each year.</w:t>
      </w:r>
    </w:p>
    <w:p w14:paraId="6D535C75" w14:textId="320EF502" w:rsid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</w:p>
    <w:p w14:paraId="02DA14FD" w14:textId="5910A543" w:rsid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  <w:r w:rsidRPr="00F47EBE">
        <w:rPr>
          <w:rFonts w:ascii="Baskerville" w:eastAsia="PMingLiU" w:hAnsi="Baskerville" w:hint="eastAsia"/>
          <w:b/>
          <w:bCs/>
          <w:snapToGrid w:val="0"/>
          <w:lang w:eastAsia="ja-JP"/>
        </w:rPr>
        <w:t>A</w:t>
      </w:r>
      <w:r w:rsidRPr="00F47EBE">
        <w:rPr>
          <w:rFonts w:ascii="Baskerville" w:eastAsia="PMingLiU" w:hAnsi="Baskerville"/>
          <w:b/>
          <w:bCs/>
          <w:snapToGrid w:val="0"/>
          <w:lang w:eastAsia="ja-JP"/>
        </w:rPr>
        <w:t>BB is not used to determine what share of the College’s budget is received by each department</w:t>
      </w:r>
      <w:r>
        <w:rPr>
          <w:rFonts w:ascii="Baskerville" w:eastAsia="PMingLiU" w:hAnsi="Baskerville"/>
          <w:snapToGrid w:val="0"/>
          <w:lang w:eastAsia="ja-JP"/>
        </w:rPr>
        <w:t xml:space="preserve"> within the College. </w:t>
      </w:r>
      <w:r w:rsidR="00F47EBE">
        <w:rPr>
          <w:rFonts w:ascii="Baskerville" w:eastAsia="PMingLiU" w:hAnsi="Baskerville"/>
          <w:snapToGrid w:val="0"/>
          <w:lang w:eastAsia="ja-JP"/>
        </w:rPr>
        <w:t>Department budgets</w:t>
      </w:r>
      <w:r>
        <w:rPr>
          <w:rFonts w:ascii="Baskerville" w:eastAsia="PMingLiU" w:hAnsi="Baskerville"/>
          <w:snapToGrid w:val="0"/>
          <w:lang w:eastAsia="ja-JP"/>
        </w:rPr>
        <w:t xml:space="preserve"> </w:t>
      </w:r>
      <w:r w:rsidR="00F47EBE">
        <w:rPr>
          <w:rFonts w:ascii="Baskerville" w:eastAsia="PMingLiU" w:hAnsi="Baskerville"/>
          <w:snapToGrid w:val="0"/>
          <w:lang w:eastAsia="ja-JP"/>
        </w:rPr>
        <w:t>are decided</w:t>
      </w:r>
      <w:r>
        <w:rPr>
          <w:rFonts w:ascii="Baskerville" w:eastAsia="PMingLiU" w:hAnsi="Baskerville"/>
          <w:snapToGrid w:val="0"/>
          <w:lang w:eastAsia="ja-JP"/>
        </w:rPr>
        <w:t xml:space="preserve"> by the 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College </w:t>
      </w:r>
      <w:r>
        <w:rPr>
          <w:rFonts w:ascii="Baskerville" w:eastAsia="PMingLiU" w:hAnsi="Baskerville"/>
          <w:snapToGrid w:val="0"/>
          <w:lang w:eastAsia="ja-JP"/>
        </w:rPr>
        <w:t>deans.</w:t>
      </w:r>
    </w:p>
    <w:p w14:paraId="725C8676" w14:textId="629F5B7F" w:rsid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</w:p>
    <w:p w14:paraId="1685F014" w14:textId="5401E9DC" w:rsid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  <w:r>
        <w:rPr>
          <w:rFonts w:ascii="Baskerville" w:eastAsia="PMingLiU" w:hAnsi="Baskerville" w:hint="eastAsia"/>
          <w:snapToGrid w:val="0"/>
          <w:lang w:eastAsia="ja-JP"/>
        </w:rPr>
        <w:t>W</w:t>
      </w:r>
      <w:r>
        <w:rPr>
          <w:rFonts w:ascii="Baskerville" w:eastAsia="PMingLiU" w:hAnsi="Baskerville"/>
          <w:snapToGrid w:val="0"/>
          <w:lang w:eastAsia="ja-JP"/>
        </w:rPr>
        <w:t xml:space="preserve">hile the 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ABB </w:t>
      </w:r>
      <w:r>
        <w:rPr>
          <w:rFonts w:ascii="Baskerville" w:eastAsia="PMingLiU" w:hAnsi="Baskerville"/>
          <w:snapToGrid w:val="0"/>
          <w:lang w:eastAsia="ja-JP"/>
        </w:rPr>
        <w:t xml:space="preserve">formulas and details are complicated, the implications are fairly straightforward: </w:t>
      </w:r>
      <w:r w:rsidRPr="00D76F7A">
        <w:rPr>
          <w:rFonts w:ascii="Baskerville" w:eastAsia="PMingLiU" w:hAnsi="Baskerville"/>
          <w:b/>
          <w:bCs/>
          <w:snapToGrid w:val="0"/>
          <w:lang w:eastAsia="ja-JP"/>
        </w:rPr>
        <w:t xml:space="preserve">the more students who take our </w:t>
      </w:r>
      <w:r w:rsidR="00B327AB">
        <w:rPr>
          <w:rFonts w:ascii="Baskerville" w:eastAsia="PMingLiU" w:hAnsi="Baskerville"/>
          <w:b/>
          <w:bCs/>
          <w:snapToGrid w:val="0"/>
          <w:lang w:eastAsia="ja-JP"/>
        </w:rPr>
        <w:t>department’s</w:t>
      </w:r>
      <w:r w:rsidR="00F47EBE" w:rsidRPr="00D76F7A">
        <w:rPr>
          <w:rFonts w:ascii="Baskerville" w:eastAsia="PMingLiU" w:hAnsi="Baskerville"/>
          <w:b/>
          <w:bCs/>
          <w:snapToGrid w:val="0"/>
          <w:lang w:eastAsia="ja-JP"/>
        </w:rPr>
        <w:t xml:space="preserve"> </w:t>
      </w:r>
      <w:r w:rsidR="00B327AB">
        <w:rPr>
          <w:rFonts w:ascii="Baskerville" w:eastAsia="PMingLiU" w:hAnsi="Baskerville"/>
          <w:b/>
          <w:bCs/>
          <w:snapToGrid w:val="0"/>
          <w:lang w:eastAsia="ja-JP"/>
        </w:rPr>
        <w:t>courses</w:t>
      </w:r>
      <w:r w:rsidRPr="00D76F7A">
        <w:rPr>
          <w:rFonts w:ascii="Baskerville" w:eastAsia="PMingLiU" w:hAnsi="Baskerville"/>
          <w:b/>
          <w:bCs/>
          <w:snapToGrid w:val="0"/>
          <w:lang w:eastAsia="ja-JP"/>
        </w:rPr>
        <w:t xml:space="preserve"> and the more majors who graduate from our programs, the more money the College receives</w:t>
      </w:r>
      <w:r>
        <w:rPr>
          <w:rFonts w:ascii="Baskerville" w:eastAsia="PMingLiU" w:hAnsi="Baskerville"/>
          <w:snapToGrid w:val="0"/>
          <w:lang w:eastAsia="ja-JP"/>
        </w:rPr>
        <w:t>.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 Note that the College also receive</w:t>
      </w:r>
      <w:r w:rsidR="00D76F7A">
        <w:rPr>
          <w:rFonts w:ascii="Baskerville" w:eastAsia="PMingLiU" w:hAnsi="Baskerville"/>
          <w:snapToGrid w:val="0"/>
          <w:lang w:eastAsia="ja-JP"/>
        </w:rPr>
        <w:t>s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 more money when students take courses that </w:t>
      </w:r>
      <w:r w:rsidR="00B327AB">
        <w:rPr>
          <w:rFonts w:ascii="Baskerville" w:eastAsia="PMingLiU" w:hAnsi="Baskerville"/>
          <w:snapToGrid w:val="0"/>
          <w:lang w:eastAsia="ja-JP"/>
        </w:rPr>
        <w:t>our faculty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 teach </w:t>
      </w:r>
      <w:r w:rsidR="00B327AB">
        <w:rPr>
          <w:rFonts w:ascii="Baskerville" w:eastAsia="PMingLiU" w:hAnsi="Baskerville"/>
          <w:snapToGrid w:val="0"/>
          <w:lang w:eastAsia="ja-JP"/>
        </w:rPr>
        <w:t>in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 other units</w:t>
      </w:r>
      <w:r w:rsidR="00DA2656">
        <w:rPr>
          <w:rFonts w:ascii="Baskerville" w:eastAsia="PMingLiU" w:hAnsi="Baskerville"/>
          <w:snapToGrid w:val="0"/>
          <w:lang w:eastAsia="ja-JP"/>
        </w:rPr>
        <w:t xml:space="preserve"> within the College</w:t>
      </w:r>
      <w:r w:rsidR="00F47EBE">
        <w:rPr>
          <w:rFonts w:ascii="Baskerville" w:eastAsia="PMingLiU" w:hAnsi="Baskerville"/>
          <w:snapToGrid w:val="0"/>
          <w:lang w:eastAsia="ja-JP"/>
        </w:rPr>
        <w:t xml:space="preserve"> (like CMS, Linguistics, JSIS, etc.).</w:t>
      </w:r>
    </w:p>
    <w:p w14:paraId="5A6E0DA3" w14:textId="4B0E1F60" w:rsid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</w:p>
    <w:p w14:paraId="77D674B2" w14:textId="411B4F3C" w:rsid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  <w:r>
        <w:rPr>
          <w:rFonts w:ascii="Baskerville" w:eastAsia="PMingLiU" w:hAnsi="Baskerville" w:hint="eastAsia"/>
          <w:snapToGrid w:val="0"/>
          <w:lang w:eastAsia="ja-JP"/>
        </w:rPr>
        <w:t>T</w:t>
      </w:r>
      <w:r>
        <w:rPr>
          <w:rFonts w:ascii="Baskerville" w:eastAsia="PMingLiU" w:hAnsi="Baskerville"/>
          <w:snapToGrid w:val="0"/>
          <w:lang w:eastAsia="ja-JP"/>
        </w:rPr>
        <w:t xml:space="preserve">he university makes </w:t>
      </w:r>
      <w:r w:rsidR="004E56E4">
        <w:rPr>
          <w:rFonts w:ascii="Baskerville" w:eastAsia="PMingLiU" w:hAnsi="Baskerville"/>
          <w:snapToGrid w:val="0"/>
          <w:lang w:eastAsia="ja-JP"/>
        </w:rPr>
        <w:t>high-level ABB</w:t>
      </w:r>
      <w:r>
        <w:rPr>
          <w:rFonts w:ascii="Baskerville" w:eastAsia="PMingLiU" w:hAnsi="Baskerville"/>
          <w:snapToGrid w:val="0"/>
          <w:lang w:eastAsia="ja-JP"/>
        </w:rPr>
        <w:t xml:space="preserve"> data publicly available. If you want to get into the weeds, see the ABB allocation table for the 2021 fiscal year here:</w:t>
      </w:r>
    </w:p>
    <w:p w14:paraId="4F8F5264" w14:textId="77777777" w:rsidR="000D253D" w:rsidRPr="000D253D" w:rsidRDefault="000D253D" w:rsidP="00972B57">
      <w:pPr>
        <w:rPr>
          <w:rFonts w:ascii="Baskerville" w:eastAsia="PMingLiU" w:hAnsi="Baskerville"/>
          <w:snapToGrid w:val="0"/>
          <w:lang w:eastAsia="ja-JP"/>
        </w:rPr>
      </w:pPr>
    </w:p>
    <w:p w14:paraId="29352D70" w14:textId="1B2CC64A" w:rsidR="000D253D" w:rsidRDefault="006F2FB4" w:rsidP="00972B57">
      <w:pPr>
        <w:rPr>
          <w:rFonts w:ascii="Baskerville" w:hAnsi="Baskerville"/>
        </w:rPr>
      </w:pPr>
      <w:hyperlink r:id="rId8" w:history="1">
        <w:r w:rsidR="000D253D" w:rsidRPr="003A304D">
          <w:rPr>
            <w:rStyle w:val="Hyperlink"/>
            <w:rFonts w:ascii="Baskerville" w:hAnsi="Baskerville"/>
          </w:rPr>
          <w:t>https://s3-us-west-2.amazonaws.com/uw-s3-cdn/wp-content/uploads/sites/162/2020/12/08164720/FY-2021-ABB-Allocation-Table-November-Distribution.pdf</w:t>
        </w:r>
      </w:hyperlink>
      <w:r w:rsidR="000D253D">
        <w:rPr>
          <w:rFonts w:ascii="Baskerville" w:hAnsi="Baskerville"/>
        </w:rPr>
        <w:t xml:space="preserve"> </w:t>
      </w:r>
    </w:p>
    <w:p w14:paraId="4E1139E8" w14:textId="1FBFB789" w:rsidR="00F20C57" w:rsidRDefault="00F20C57" w:rsidP="00972B57">
      <w:pPr>
        <w:rPr>
          <w:rFonts w:ascii="Baskerville" w:hAnsi="Baskerville"/>
        </w:rPr>
      </w:pPr>
    </w:p>
    <w:p w14:paraId="18F0D485" w14:textId="3FBBAE0A" w:rsidR="000D253D" w:rsidRDefault="000D253D" w:rsidP="00972B57">
      <w:pPr>
        <w:rPr>
          <w:rFonts w:ascii="Baskerville" w:hAnsi="Baskerville"/>
        </w:rPr>
      </w:pPr>
    </w:p>
    <w:p w14:paraId="1E108BA7" w14:textId="77777777" w:rsidR="004E56E4" w:rsidRDefault="004E56E4" w:rsidP="00972B57">
      <w:pPr>
        <w:rPr>
          <w:rFonts w:ascii="Baskerville" w:hAnsi="Baskerville"/>
        </w:rPr>
      </w:pPr>
    </w:p>
    <w:p w14:paraId="3DA50E89" w14:textId="7ABB886C" w:rsidR="00C5334D" w:rsidRDefault="004E56E4" w:rsidP="00972B57">
      <w:pPr>
        <w:rPr>
          <w:rFonts w:ascii="Baskerville" w:hAnsi="Baskerville"/>
        </w:rPr>
      </w:pPr>
      <w:r w:rsidRPr="00AC07C2">
        <w:rPr>
          <w:rFonts w:ascii="Baskerville" w:hAnsi="Baskerville" w:hint="eastAsia"/>
          <w:i/>
          <w:iCs/>
        </w:rPr>
        <w:t>T</w:t>
      </w:r>
      <w:r w:rsidRPr="00AC07C2">
        <w:rPr>
          <w:rFonts w:ascii="Baskerville" w:hAnsi="Baskerville"/>
          <w:i/>
          <w:iCs/>
        </w:rPr>
        <w:t xml:space="preserve">wo </w:t>
      </w:r>
      <w:r w:rsidR="00AC07C2">
        <w:rPr>
          <w:rFonts w:ascii="Baskerville" w:hAnsi="Baskerville"/>
          <w:i/>
          <w:iCs/>
        </w:rPr>
        <w:t>charts relating</w:t>
      </w:r>
      <w:r w:rsidRPr="00AC07C2">
        <w:rPr>
          <w:rFonts w:ascii="Baskerville" w:hAnsi="Baskerville"/>
          <w:i/>
          <w:iCs/>
        </w:rPr>
        <w:t xml:space="preserve"> </w:t>
      </w:r>
      <w:r w:rsidR="00AC07C2">
        <w:rPr>
          <w:rFonts w:ascii="Baskerville" w:hAnsi="Baskerville"/>
          <w:i/>
          <w:iCs/>
        </w:rPr>
        <w:t>ABB income</w:t>
      </w:r>
      <w:r w:rsidRPr="00AC07C2">
        <w:rPr>
          <w:rFonts w:ascii="Baskerville" w:hAnsi="Baskerville"/>
          <w:i/>
          <w:iCs/>
        </w:rPr>
        <w:t xml:space="preserve"> to expenses in the College will be screen-shared during the faculty meeting.</w:t>
      </w:r>
      <w:r w:rsidR="003C11B5">
        <w:rPr>
          <w:rFonts w:ascii="Baskerville" w:hAnsi="Baskerville"/>
          <w:i/>
          <w:iCs/>
        </w:rPr>
        <w:t xml:space="preserve"> The Divisional Dean has requested that these not be distributed.</w:t>
      </w:r>
    </w:p>
    <w:p w14:paraId="64B5C792" w14:textId="2CB6262C" w:rsidR="00F42EF3" w:rsidRDefault="00F42EF3" w:rsidP="00972B57">
      <w:pPr>
        <w:rPr>
          <w:rFonts w:ascii="Baskerville" w:hAnsi="Baskerville"/>
        </w:rPr>
      </w:pPr>
    </w:p>
    <w:p w14:paraId="62E342AB" w14:textId="43818E69" w:rsidR="00F42EF3" w:rsidRDefault="00F42EF3" w:rsidP="00972B57">
      <w:pPr>
        <w:rPr>
          <w:rFonts w:ascii="Baskerville" w:hAnsi="Baskerville"/>
        </w:rPr>
      </w:pPr>
    </w:p>
    <w:p w14:paraId="7E472F99" w14:textId="0F5943A7" w:rsidR="00F42EF3" w:rsidRPr="0021279D" w:rsidRDefault="00F42EF3" w:rsidP="00F42EF3">
      <w:pPr>
        <w:keepNext/>
        <w:pageBreakBefore/>
        <w:rPr>
          <w:rFonts w:ascii="Baskerville" w:eastAsia="PMingLiU" w:hAnsi="Baskerville"/>
          <w:b/>
          <w:bCs/>
          <w:snapToGrid w:val="0"/>
          <w:lang w:eastAsia="ja-JP"/>
        </w:rPr>
      </w:pPr>
      <w:r w:rsidRPr="0021279D">
        <w:rPr>
          <w:rFonts w:ascii="Baskerville" w:eastAsia="PMingLiU" w:hAnsi="Baskerville"/>
          <w:b/>
          <w:bCs/>
          <w:snapToGrid w:val="0"/>
          <w:lang w:eastAsia="ja-JP"/>
        </w:rPr>
        <w:lastRenderedPageBreak/>
        <w:t>Appendix</w:t>
      </w:r>
      <w:r>
        <w:rPr>
          <w:rFonts w:ascii="Baskerville" w:eastAsia="PMingLiU" w:hAnsi="Baskerville"/>
          <w:b/>
          <w:bCs/>
          <w:snapToGrid w:val="0"/>
          <w:lang w:eastAsia="ja-JP"/>
        </w:rPr>
        <w:t xml:space="preserve"> 2</w:t>
      </w:r>
    </w:p>
    <w:p w14:paraId="2D6F7FB5" w14:textId="29831B65" w:rsidR="00F42EF3" w:rsidRDefault="00F42EF3" w:rsidP="00972B57">
      <w:pPr>
        <w:rPr>
          <w:rFonts w:ascii="Baskerville" w:hAnsi="Baskerville"/>
        </w:rPr>
      </w:pPr>
    </w:p>
    <w:p w14:paraId="51B9BEFB" w14:textId="6AE77D5D" w:rsidR="00F42EF3" w:rsidRPr="00F42EF3" w:rsidRDefault="00F42EF3" w:rsidP="00F42EF3">
      <w:pPr>
        <w:rPr>
          <w:rFonts w:ascii="Baskerville" w:hAnsi="Baskerville"/>
          <w:b/>
          <w:bCs/>
          <w:color w:val="000000"/>
        </w:rPr>
      </w:pPr>
      <w:r w:rsidRPr="00F42EF3">
        <w:rPr>
          <w:rFonts w:ascii="Baskerville" w:hAnsi="Baskerville"/>
          <w:b/>
          <w:bCs/>
          <w:color w:val="000000"/>
        </w:rPr>
        <w:t>Faculty eligible for election to the College Council from the Humanities Division of CAS</w:t>
      </w:r>
      <w:r w:rsidRPr="00F42EF3">
        <w:rPr>
          <w:rFonts w:ascii="Baskerville" w:hAnsi="Baskerville"/>
          <w:b/>
          <w:bCs/>
          <w:color w:val="000000"/>
        </w:rPr>
        <w:br/>
      </w:r>
    </w:p>
    <w:p w14:paraId="155708D9" w14:textId="77777777" w:rsidR="00F42EF3" w:rsidRDefault="00F42EF3" w:rsidP="00F42EF3">
      <w:pPr>
        <w:rPr>
          <w:rFonts w:ascii="Helvetica" w:hAnsi="Helvetica"/>
          <w:b/>
          <w:bCs/>
          <w:color w:val="000000"/>
          <w:sz w:val="18"/>
          <w:szCs w:val="18"/>
        </w:rPr>
        <w:sectPr w:rsidR="00F42EF3" w:rsidSect="002F25EC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709" w:right="1080" w:bottom="2394" w:left="1080" w:header="1080" w:footer="720" w:gutter="0"/>
          <w:cols w:space="720"/>
          <w:titlePg/>
          <w:docGrid w:linePitch="360"/>
        </w:sect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145"/>
      </w:tblGrid>
      <w:tr w:rsidR="00F42EF3" w:rsidRPr="00F42EF3" w14:paraId="59958AE8" w14:textId="77777777" w:rsidTr="00F42EF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E09419" w14:textId="09582383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E7906" w14:textId="77777777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F42EF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Paul S. Atkins Asian Lang &amp; Lit </w:t>
            </w:r>
          </w:p>
        </w:tc>
      </w:tr>
      <w:tr w:rsidR="00F42EF3" w:rsidRPr="00F42EF3" w14:paraId="3D1C9ABE" w14:textId="77777777" w:rsidTr="00F42EF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FEDB2B" w14:textId="77777777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2AE83F" w14:textId="77777777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F42EF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William G. Boltz Asian Lang &amp; Lit </w:t>
            </w:r>
          </w:p>
        </w:tc>
      </w:tr>
      <w:tr w:rsidR="00F42EF3" w:rsidRPr="00F42EF3" w14:paraId="6290EEED" w14:textId="77777777" w:rsidTr="00F42EF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94D68" w14:textId="77777777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B5537" w14:textId="77777777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F42EF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Chris Hamm Asian Lang &amp; Lit </w:t>
            </w:r>
          </w:p>
        </w:tc>
      </w:tr>
      <w:tr w:rsidR="00F42EF3" w:rsidRPr="00F42EF3" w14:paraId="3F22CD03" w14:textId="77777777" w:rsidTr="00F42EF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2AF308" w14:textId="77777777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A5A31" w14:textId="77777777" w:rsidR="00F42EF3" w:rsidRPr="00F42EF3" w:rsidRDefault="00F42EF3" w:rsidP="00F42EF3">
            <w:pPr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F42EF3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>Heidi Pauwels Asian Lang &amp; Lit</w:t>
            </w:r>
          </w:p>
        </w:tc>
      </w:tr>
    </w:tbl>
    <w:p w14:paraId="2A8F5ED9" w14:textId="325DF72A" w:rsidR="00F42EF3" w:rsidRPr="00F42EF3" w:rsidRDefault="00F42EF3" w:rsidP="00F42EF3">
      <w:pPr>
        <w:rPr>
          <w:sz w:val="28"/>
          <w:szCs w:val="28"/>
        </w:rPr>
      </w:pPr>
      <w:r w:rsidRPr="00F42EF3">
        <w:rPr>
          <w:rFonts w:ascii="Helvetica" w:hAnsi="Helvetica"/>
          <w:color w:val="000000"/>
          <w:sz w:val="20"/>
          <w:szCs w:val="20"/>
        </w:rPr>
        <w:t xml:space="preserve">Yomi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Braester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Cinema &amp; Media</w:t>
      </w:r>
      <w:r w:rsidRPr="00F42EF3">
        <w:rPr>
          <w:rFonts w:ascii="Helvetica" w:hAnsi="Helvetica"/>
          <w:color w:val="000000"/>
          <w:sz w:val="20"/>
          <w:szCs w:val="20"/>
        </w:rPr>
        <w:br/>
        <w:t>James Tweedie Cinema &amp; Media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Gary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Handwerk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CHID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Phillip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Thurtle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CHID</w:t>
      </w:r>
      <w:r w:rsidRPr="00F42EF3">
        <w:rPr>
          <w:rFonts w:ascii="Helvetica" w:hAnsi="Helvetica"/>
          <w:color w:val="000000"/>
          <w:sz w:val="20"/>
          <w:szCs w:val="20"/>
        </w:rPr>
        <w:br/>
        <w:t>Robert E Abrams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Linda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Bierds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David Bosworth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Eva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Cherniavsky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Laura Chrisman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David Crouse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Thomas Foster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Gillian Harkins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Sydney Kaplan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Monika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Kaup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Richard Kenney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Paul Remley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David Shields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Juliet Shields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Maya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Sonenberg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English</w:t>
      </w:r>
      <w:r w:rsidRPr="00F42EF3">
        <w:rPr>
          <w:rFonts w:ascii="Helvetica" w:hAnsi="Helvetica"/>
          <w:color w:val="000000"/>
          <w:sz w:val="20"/>
          <w:szCs w:val="20"/>
        </w:rPr>
        <w:br/>
      </w:r>
      <w:r w:rsidRPr="00F42EF3">
        <w:rPr>
          <w:rFonts w:ascii="Helvetica" w:hAnsi="Helvetica"/>
          <w:color w:val="000000"/>
          <w:sz w:val="20"/>
          <w:szCs w:val="20"/>
        </w:rPr>
        <w:t>Henry Staten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William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Streitberger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English</w:t>
      </w:r>
      <w:r w:rsidRPr="00F42EF3">
        <w:rPr>
          <w:rFonts w:ascii="Helvetica" w:hAnsi="Helvetica"/>
          <w:color w:val="000000"/>
          <w:sz w:val="20"/>
          <w:szCs w:val="20"/>
        </w:rPr>
        <w:br/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Pimone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Triplett English</w:t>
      </w:r>
      <w:r w:rsidRPr="00F42EF3">
        <w:rPr>
          <w:rFonts w:ascii="Helvetica" w:hAnsi="Helvetica"/>
          <w:color w:val="000000"/>
          <w:sz w:val="20"/>
          <w:szCs w:val="20"/>
        </w:rPr>
        <w:br/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Alys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Weinbaum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Shawn Wong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Kathleen Woodward English</w:t>
      </w:r>
      <w:r w:rsidRPr="00F42EF3">
        <w:rPr>
          <w:rFonts w:ascii="Helvetica" w:hAnsi="Helvetica"/>
          <w:color w:val="000000"/>
          <w:sz w:val="20"/>
          <w:szCs w:val="20"/>
        </w:rPr>
        <w:br/>
        <w:t>Richard Block Germanics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Brigitte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Prutti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Germanics</w:t>
      </w:r>
      <w:r w:rsidRPr="00F42EF3">
        <w:rPr>
          <w:rFonts w:ascii="Helvetica" w:hAnsi="Helvetica"/>
          <w:color w:val="000000"/>
          <w:sz w:val="20"/>
          <w:szCs w:val="20"/>
        </w:rPr>
        <w:br/>
        <w:t>Emily M. Bender Linguistics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Sharon L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Hargus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Linguistics</w:t>
      </w:r>
      <w:r w:rsidRPr="00F42EF3">
        <w:rPr>
          <w:rFonts w:ascii="Helvetica" w:hAnsi="Helvetica"/>
          <w:color w:val="000000"/>
          <w:sz w:val="20"/>
          <w:szCs w:val="20"/>
        </w:rPr>
        <w:br/>
        <w:t>Fei Xia Linguistics</w:t>
      </w:r>
      <w:r w:rsidRPr="00F42EF3">
        <w:rPr>
          <w:rFonts w:ascii="Helvetica" w:hAnsi="Helvetica"/>
          <w:color w:val="000000"/>
          <w:sz w:val="20"/>
          <w:szCs w:val="20"/>
        </w:rPr>
        <w:br/>
        <w:t>Terri L DeYoung Near Eastern Lang &amp; Civ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Scott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Noegel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Near Eastern Lang &amp; Civ</w:t>
      </w:r>
      <w:r w:rsidRPr="00F42EF3">
        <w:rPr>
          <w:rFonts w:ascii="Helvetica" w:hAnsi="Helvetica"/>
          <w:color w:val="000000"/>
          <w:sz w:val="20"/>
          <w:szCs w:val="20"/>
        </w:rPr>
        <w:br/>
        <w:t>Naomi B Sokoloff Near Eastern Lang &amp; Civ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Christine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Ingebritsen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Scandinavian Studies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Andrew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Nestingen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Scandinavian Studies</w:t>
      </w:r>
      <w:r w:rsidRPr="00F42EF3">
        <w:rPr>
          <w:rFonts w:ascii="Helvetica" w:hAnsi="Helvetica"/>
          <w:color w:val="000000"/>
          <w:sz w:val="20"/>
          <w:szCs w:val="20"/>
        </w:rPr>
        <w:br/>
        <w:t xml:space="preserve">Marianne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Stecher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>-Hansen Scandinavian Studies</w:t>
      </w:r>
      <w:r w:rsidRPr="00F42EF3">
        <w:rPr>
          <w:rFonts w:ascii="Helvetica" w:hAnsi="Helvetica"/>
          <w:color w:val="000000"/>
          <w:sz w:val="20"/>
          <w:szCs w:val="20"/>
        </w:rPr>
        <w:br/>
        <w:t>Jose Alaniz Slavic Lang &amp; Lit</w:t>
      </w:r>
      <w:r w:rsidRPr="00F42EF3">
        <w:rPr>
          <w:rFonts w:ascii="Helvetica" w:hAnsi="Helvetica"/>
          <w:color w:val="000000"/>
          <w:sz w:val="20"/>
          <w:szCs w:val="20"/>
        </w:rPr>
        <w:br/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Gordana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P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Crnkovic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Slavic Lang &amp; Lit</w:t>
      </w:r>
      <w:r w:rsidRPr="00F42EF3">
        <w:rPr>
          <w:rFonts w:ascii="Helvetica" w:hAnsi="Helvetica"/>
          <w:color w:val="000000"/>
          <w:sz w:val="20"/>
          <w:szCs w:val="20"/>
        </w:rPr>
        <w:br/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Galya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F42EF3">
        <w:rPr>
          <w:rFonts w:ascii="Helvetica" w:hAnsi="Helvetica"/>
          <w:color w:val="000000"/>
          <w:sz w:val="20"/>
          <w:szCs w:val="20"/>
        </w:rPr>
        <w:t>Diment</w:t>
      </w:r>
      <w:proofErr w:type="spellEnd"/>
      <w:r w:rsidRPr="00F42EF3">
        <w:rPr>
          <w:rFonts w:ascii="Helvetica" w:hAnsi="Helvetica"/>
          <w:color w:val="000000"/>
          <w:sz w:val="20"/>
          <w:szCs w:val="20"/>
        </w:rPr>
        <w:t xml:space="preserve"> Slavic Lang &amp; Lit</w:t>
      </w:r>
      <w:r w:rsidRPr="00F42EF3">
        <w:rPr>
          <w:rFonts w:ascii="Helvetica" w:hAnsi="Helvetica"/>
          <w:color w:val="000000"/>
          <w:sz w:val="20"/>
          <w:szCs w:val="20"/>
        </w:rPr>
        <w:br/>
        <w:t>Anthony Geist Spanish &amp; Portuguese</w:t>
      </w:r>
      <w:r w:rsidRPr="00F42EF3">
        <w:rPr>
          <w:rFonts w:ascii="Helvetica" w:hAnsi="Helvetica"/>
          <w:color w:val="000000"/>
          <w:sz w:val="20"/>
          <w:szCs w:val="20"/>
        </w:rPr>
        <w:br/>
        <w:t>Ana Gomez-Bravo Spanish &amp; Portuguese</w:t>
      </w:r>
      <w:r w:rsidRPr="00F42EF3">
        <w:rPr>
          <w:rFonts w:ascii="Helvetica" w:hAnsi="Helvetica"/>
          <w:color w:val="000000"/>
          <w:sz w:val="20"/>
          <w:szCs w:val="20"/>
        </w:rPr>
        <w:br/>
        <w:t>Edgar O'Hara Spanish &amp; Portuguese</w:t>
      </w:r>
    </w:p>
    <w:p w14:paraId="2AF0C9ED" w14:textId="77777777" w:rsidR="00F42EF3" w:rsidRDefault="00F42EF3" w:rsidP="00972B57">
      <w:pPr>
        <w:rPr>
          <w:rFonts w:ascii="Baskerville" w:hAnsi="Baskerville"/>
        </w:rPr>
        <w:sectPr w:rsidR="00F42EF3" w:rsidSect="00F42EF3">
          <w:type w:val="continuous"/>
          <w:pgSz w:w="12240" w:h="15840"/>
          <w:pgMar w:top="2709" w:right="1080" w:bottom="2394" w:left="1080" w:header="1080" w:footer="720" w:gutter="0"/>
          <w:cols w:num="2" w:space="720"/>
          <w:titlePg/>
          <w:docGrid w:linePitch="360"/>
        </w:sectPr>
      </w:pPr>
    </w:p>
    <w:p w14:paraId="25BEC6F6" w14:textId="46FB1F69" w:rsidR="00F42EF3" w:rsidRPr="00F42EF3" w:rsidRDefault="00F42EF3" w:rsidP="00972B57">
      <w:pPr>
        <w:rPr>
          <w:rFonts w:ascii="Baskerville" w:hAnsi="Baskerville"/>
        </w:rPr>
      </w:pPr>
    </w:p>
    <w:sectPr w:rsidR="00F42EF3" w:rsidRPr="00F42EF3" w:rsidSect="00F42EF3">
      <w:type w:val="continuous"/>
      <w:pgSz w:w="12240" w:h="15840"/>
      <w:pgMar w:top="2709" w:right="1080" w:bottom="2394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B710" w14:textId="77777777" w:rsidR="006F2FB4" w:rsidRDefault="006F2FB4" w:rsidP="0066748D">
      <w:r>
        <w:separator/>
      </w:r>
    </w:p>
  </w:endnote>
  <w:endnote w:type="continuationSeparator" w:id="0">
    <w:p w14:paraId="42DA4C39" w14:textId="77777777" w:rsidR="006F2FB4" w:rsidRDefault="006F2FB4" w:rsidP="006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trixIIBoldLining">
    <w:altName w:val="Times New Roman"/>
    <w:panose1 w:val="020B0604020202020204"/>
    <w:charset w:val="00"/>
    <w:family w:val="auto"/>
    <w:pitch w:val="variable"/>
    <w:sig w:usb0="A0000027" w:usb1="40000000" w:usb2="00000000" w:usb3="00000000" w:csb0="00000111" w:csb1="00000000"/>
  </w:font>
  <w:font w:name="MatrixIIBookLi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 Sans">
    <w:altName w:val="Calibri"/>
    <w:panose1 w:val="020B0604020202020204"/>
    <w:charset w:val="00"/>
    <w:family w:val="auto"/>
    <w:pitch w:val="variable"/>
    <w:sig w:usb0="A00002EF" w:usb1="4000204A" w:usb2="00000000" w:usb3="00000000" w:csb0="00000001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34580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708A70" w14:textId="4A070286" w:rsidR="002B032F" w:rsidRDefault="002B032F" w:rsidP="008601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630246" w14:textId="77777777" w:rsidR="00C03726" w:rsidRDefault="00C03726" w:rsidP="002B03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66285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64AC0" w14:textId="2E4C2D20" w:rsidR="002B032F" w:rsidRDefault="002B032F" w:rsidP="008601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022C7B8" w14:textId="77777777" w:rsidR="00C03726" w:rsidRDefault="00C03726" w:rsidP="002B03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57FB" w14:textId="77777777" w:rsidR="00AC692E" w:rsidRPr="006A6562" w:rsidRDefault="008C5A7F" w:rsidP="00AC692E">
    <w:pPr>
      <w:pStyle w:val="Footer"/>
      <w:tabs>
        <w:tab w:val="clear" w:pos="4680"/>
        <w:tab w:val="clear" w:pos="9360"/>
        <w:tab w:val="left" w:pos="2700"/>
        <w:tab w:val="left" w:pos="5220"/>
      </w:tabs>
      <w:spacing w:line="360" w:lineRule="auto"/>
      <w:rPr>
        <w:rFonts w:ascii="Open Sans" w:hAnsi="Open Sans"/>
        <w:sz w:val="16"/>
        <w:szCs w:val="16"/>
      </w:rPr>
    </w:pPr>
    <w:r w:rsidRPr="008C5A7F">
      <w:rPr>
        <w:rFonts w:ascii="Uni Sans" w:hAnsi="Uni Sans"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1" locked="0" layoutInCell="1" allowOverlap="1" wp14:anchorId="65C1C113" wp14:editId="5518E552">
          <wp:simplePos x="0" y="0"/>
          <wp:positionH relativeFrom="column">
            <wp:posOffset>4482</wp:posOffset>
          </wp:positionH>
          <wp:positionV relativeFrom="paragraph">
            <wp:posOffset>-179406</wp:posOffset>
          </wp:positionV>
          <wp:extent cx="1828800" cy="118872"/>
          <wp:effectExtent l="0" t="0" r="0" b="8255"/>
          <wp:wrapNone/>
          <wp:docPr id="6" name="Picture 6" descr="Purple University of Washington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Template-RGB-Gray7-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496">
      <w:rPr>
        <w:rFonts w:ascii="Open Sans" w:hAnsi="Open Sans"/>
        <w:sz w:val="14"/>
        <w:szCs w:val="14"/>
      </w:rPr>
      <w:t>B</w:t>
    </w:r>
    <w:r w:rsidR="00AC692E" w:rsidRPr="006A6562">
      <w:rPr>
        <w:rFonts w:ascii="Open Sans" w:hAnsi="Open Sans"/>
        <w:sz w:val="16"/>
        <w:szCs w:val="16"/>
      </w:rPr>
      <w:t>ox 353521     225 Gowen Hall     Seattle, WA 98195-3521</w:t>
    </w:r>
  </w:p>
  <w:p w14:paraId="7747E1EA" w14:textId="77777777" w:rsidR="00FE6625" w:rsidRPr="00C03726" w:rsidRDefault="00AC692E" w:rsidP="00C03726">
    <w:pPr>
      <w:pStyle w:val="Footer"/>
      <w:rPr>
        <w:rFonts w:ascii="Open Sans" w:hAnsi="Open Sans"/>
        <w:sz w:val="16"/>
        <w:szCs w:val="16"/>
      </w:rPr>
    </w:pPr>
    <w:r w:rsidRPr="006A6562">
      <w:rPr>
        <w:rFonts w:ascii="Open Sans" w:hAnsi="Open Sans"/>
        <w:sz w:val="16"/>
        <w:szCs w:val="16"/>
      </w:rPr>
      <w:t xml:space="preserve">206.543.4996    fax 206.685.4268     asianll@uw.edu    asian.washington.edu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6717" w14:textId="77777777" w:rsidR="006F2FB4" w:rsidRDefault="006F2FB4" w:rsidP="0066748D">
      <w:r>
        <w:separator/>
      </w:r>
    </w:p>
  </w:footnote>
  <w:footnote w:type="continuationSeparator" w:id="0">
    <w:p w14:paraId="3A6F1045" w14:textId="77777777" w:rsidR="006F2FB4" w:rsidRDefault="006F2FB4" w:rsidP="0066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1EDC3" w14:textId="77777777" w:rsidR="00AC692E" w:rsidRDefault="00AC692E" w:rsidP="00AC692E">
    <w:pPr>
      <w:pStyle w:val="Header"/>
      <w:rPr>
        <w:rFonts w:ascii="MatrixIIBoldLining" w:hAnsi="MatrixIIBoldLining"/>
      </w:rPr>
    </w:pPr>
    <w:bookmarkStart w:id="0" w:name="_Hlk43890179"/>
    <w:bookmarkStart w:id="1" w:name="_Hlk43890180"/>
  </w:p>
  <w:tbl>
    <w:tblPr>
      <w:tblW w:w="10317" w:type="dxa"/>
      <w:tblLook w:val="04A0" w:firstRow="1" w:lastRow="0" w:firstColumn="1" w:lastColumn="0" w:noHBand="0" w:noVBand="1"/>
    </w:tblPr>
    <w:tblGrid>
      <w:gridCol w:w="1137"/>
      <w:gridCol w:w="9180"/>
    </w:tblGrid>
    <w:tr w:rsidR="00AC692E" w:rsidRPr="00906EE7" w14:paraId="50547283" w14:textId="77777777" w:rsidTr="005777A8">
      <w:trPr>
        <w:trHeight w:val="360"/>
      </w:trPr>
      <w:tc>
        <w:tcPr>
          <w:tcW w:w="1137" w:type="dxa"/>
          <w:vMerge w:val="restart"/>
        </w:tcPr>
        <w:p w14:paraId="4D6B3ABD" w14:textId="77777777" w:rsidR="00AC692E" w:rsidRPr="00906EE7" w:rsidRDefault="00AC692E" w:rsidP="00AC692E">
          <w:pPr>
            <w:pStyle w:val="Header"/>
            <w:jc w:val="both"/>
            <w:rPr>
              <w:rFonts w:ascii="MatrixIIBoldLining" w:hAnsi="MatrixIIBoldLining"/>
            </w:rPr>
          </w:pPr>
          <w:r w:rsidRPr="00CE45A9">
            <w:rPr>
              <w:noProof/>
            </w:rPr>
            <w:drawing>
              <wp:inline distT="0" distB="0" distL="0" distR="0" wp14:anchorId="59B07BB5" wp14:editId="6286BB06">
                <wp:extent cx="533400" cy="361950"/>
                <wp:effectExtent l="0" t="0" r="0" b="0"/>
                <wp:docPr id="1" name="Picture 0" descr="UW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W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tcBorders>
            <w:bottom w:val="single" w:sz="4" w:space="0" w:color="auto"/>
          </w:tcBorders>
        </w:tcPr>
        <w:p w14:paraId="25B949E4" w14:textId="77777777" w:rsidR="00AC692E" w:rsidRPr="00906EE7" w:rsidRDefault="00AC692E" w:rsidP="00AC692E">
          <w:pPr>
            <w:pStyle w:val="Header"/>
            <w:rPr>
              <w:rFonts w:ascii="MatrixIIBookLin" w:hAnsi="MatrixIIBookLin"/>
              <w:sz w:val="32"/>
              <w:szCs w:val="32"/>
            </w:rPr>
          </w:pPr>
          <w:r w:rsidRPr="00906EE7">
            <w:rPr>
              <w:rFonts w:ascii="MatrixIIBookLin" w:hAnsi="MatrixIIBookLin"/>
              <w:sz w:val="32"/>
              <w:szCs w:val="32"/>
            </w:rPr>
            <w:t>ASIAN LANGUAGES &amp; LITERATURE</w:t>
          </w:r>
        </w:p>
      </w:tc>
    </w:tr>
    <w:tr w:rsidR="00AC692E" w:rsidRPr="00906EE7" w14:paraId="7435B548" w14:textId="77777777" w:rsidTr="005777A8">
      <w:trPr>
        <w:trHeight w:val="245"/>
      </w:trPr>
      <w:tc>
        <w:tcPr>
          <w:tcW w:w="1137" w:type="dxa"/>
          <w:vMerge/>
        </w:tcPr>
        <w:p w14:paraId="52B9FEC1" w14:textId="77777777" w:rsidR="00AC692E" w:rsidRPr="00906EE7" w:rsidRDefault="00AC692E" w:rsidP="00AC692E">
          <w:pPr>
            <w:pStyle w:val="Header"/>
            <w:rPr>
              <w:rFonts w:ascii="MatrixIIBoldLining" w:hAnsi="MatrixIIBoldLining"/>
            </w:rPr>
          </w:pPr>
        </w:p>
      </w:tc>
      <w:tc>
        <w:tcPr>
          <w:tcW w:w="9180" w:type="dxa"/>
          <w:tcBorders>
            <w:top w:val="single" w:sz="4" w:space="0" w:color="auto"/>
          </w:tcBorders>
        </w:tcPr>
        <w:p w14:paraId="446F12EC" w14:textId="77777777" w:rsidR="00AC692E" w:rsidRPr="00906EE7" w:rsidRDefault="00AC692E" w:rsidP="00AC692E">
          <w:pPr>
            <w:pStyle w:val="Header"/>
            <w:rPr>
              <w:rFonts w:ascii="MatrixIIBookLin" w:hAnsi="MatrixIIBookLin"/>
              <w:spacing w:val="20"/>
            </w:rPr>
          </w:pPr>
          <w:r w:rsidRPr="00906EE7">
            <w:rPr>
              <w:rFonts w:ascii="MatrixIIBookLin" w:hAnsi="MatrixIIBookLin"/>
              <w:spacing w:val="20"/>
            </w:rPr>
            <w:t xml:space="preserve">UNIVERSITY </w:t>
          </w:r>
          <w:r w:rsidRPr="00906EE7">
            <w:rPr>
              <w:rFonts w:ascii="MatrixIIBookLin" w:hAnsi="MatrixIIBookLin"/>
              <w:i/>
              <w:spacing w:val="20"/>
            </w:rPr>
            <w:t>of</w:t>
          </w:r>
          <w:r w:rsidRPr="00906EE7">
            <w:rPr>
              <w:rFonts w:ascii="MatrixIIBookLin" w:hAnsi="MatrixIIBookLin"/>
              <w:spacing w:val="20"/>
            </w:rPr>
            <w:t xml:space="preserve">  WASHINGTON</w:t>
          </w:r>
        </w:p>
      </w:tc>
    </w:tr>
    <w:bookmarkEnd w:id="0"/>
    <w:bookmarkEnd w:id="1"/>
  </w:tbl>
  <w:p w14:paraId="4B788B49" w14:textId="77777777" w:rsidR="00AC692E" w:rsidRDefault="00AC692E" w:rsidP="00AC692E">
    <w:pPr>
      <w:pStyle w:val="Header"/>
    </w:pPr>
  </w:p>
  <w:p w14:paraId="6A843A5F" w14:textId="77777777" w:rsidR="00EA71BB" w:rsidRDefault="008A09EE">
    <w:pPr>
      <w:pStyle w:val="Header"/>
    </w:pP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DC626A"/>
    <w:multiLevelType w:val="hybridMultilevel"/>
    <w:tmpl w:val="3B9C45EE"/>
    <w:lvl w:ilvl="0" w:tplc="B4B4D6B8">
      <w:start w:val="1"/>
      <w:numFmt w:val="upperRoman"/>
      <w:pStyle w:val="AgendaItem"/>
      <w:lvlText w:val="%1."/>
      <w:lvlJc w:val="left"/>
      <w:pPr>
        <w:ind w:left="480" w:hanging="480"/>
      </w:pPr>
    </w:lvl>
    <w:lvl w:ilvl="1" w:tplc="3E604634">
      <w:start w:val="1"/>
      <w:numFmt w:val="decimal"/>
      <w:pStyle w:val="AgendaSubitem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917BAE"/>
    <w:multiLevelType w:val="hybridMultilevel"/>
    <w:tmpl w:val="0602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E2"/>
    <w:rsid w:val="00007815"/>
    <w:rsid w:val="0003695A"/>
    <w:rsid w:val="00042743"/>
    <w:rsid w:val="000627EE"/>
    <w:rsid w:val="00063FAF"/>
    <w:rsid w:val="00083A10"/>
    <w:rsid w:val="00090F63"/>
    <w:rsid w:val="00095DE0"/>
    <w:rsid w:val="00096C15"/>
    <w:rsid w:val="000D253D"/>
    <w:rsid w:val="000E319D"/>
    <w:rsid w:val="000E49FB"/>
    <w:rsid w:val="000E5C81"/>
    <w:rsid w:val="001540DF"/>
    <w:rsid w:val="00155ABB"/>
    <w:rsid w:val="00163BE4"/>
    <w:rsid w:val="00166265"/>
    <w:rsid w:val="001A23FD"/>
    <w:rsid w:val="001C369B"/>
    <w:rsid w:val="001C7C94"/>
    <w:rsid w:val="001C7C95"/>
    <w:rsid w:val="0021279D"/>
    <w:rsid w:val="002330BD"/>
    <w:rsid w:val="00234C8C"/>
    <w:rsid w:val="00241F91"/>
    <w:rsid w:val="00265978"/>
    <w:rsid w:val="002719DB"/>
    <w:rsid w:val="002760C4"/>
    <w:rsid w:val="00286D02"/>
    <w:rsid w:val="002B032F"/>
    <w:rsid w:val="002B0D8B"/>
    <w:rsid w:val="002C0136"/>
    <w:rsid w:val="002C0813"/>
    <w:rsid w:val="002D22F1"/>
    <w:rsid w:val="002F25EC"/>
    <w:rsid w:val="002F6A3F"/>
    <w:rsid w:val="00313D3E"/>
    <w:rsid w:val="003169C0"/>
    <w:rsid w:val="00330E52"/>
    <w:rsid w:val="00333DBB"/>
    <w:rsid w:val="00341C4A"/>
    <w:rsid w:val="003421A1"/>
    <w:rsid w:val="00343A79"/>
    <w:rsid w:val="00360752"/>
    <w:rsid w:val="00374ACC"/>
    <w:rsid w:val="00390E90"/>
    <w:rsid w:val="003A5ED8"/>
    <w:rsid w:val="003A7F6B"/>
    <w:rsid w:val="003B6666"/>
    <w:rsid w:val="003C11B5"/>
    <w:rsid w:val="003F136D"/>
    <w:rsid w:val="00405BDA"/>
    <w:rsid w:val="0041452E"/>
    <w:rsid w:val="00421B18"/>
    <w:rsid w:val="00434EC9"/>
    <w:rsid w:val="00436B25"/>
    <w:rsid w:val="00445DA1"/>
    <w:rsid w:val="00454235"/>
    <w:rsid w:val="00460EB4"/>
    <w:rsid w:val="0046133C"/>
    <w:rsid w:val="004A3502"/>
    <w:rsid w:val="004B2400"/>
    <w:rsid w:val="004C0B4A"/>
    <w:rsid w:val="004D2EBB"/>
    <w:rsid w:val="004E56E4"/>
    <w:rsid w:val="004F7195"/>
    <w:rsid w:val="0053213F"/>
    <w:rsid w:val="0054205B"/>
    <w:rsid w:val="005461FE"/>
    <w:rsid w:val="00581A5C"/>
    <w:rsid w:val="005D2F03"/>
    <w:rsid w:val="005D495A"/>
    <w:rsid w:val="005E0888"/>
    <w:rsid w:val="00665107"/>
    <w:rsid w:val="00666A5D"/>
    <w:rsid w:val="0066748D"/>
    <w:rsid w:val="00674027"/>
    <w:rsid w:val="006767A6"/>
    <w:rsid w:val="00676CFB"/>
    <w:rsid w:val="00683A05"/>
    <w:rsid w:val="00694444"/>
    <w:rsid w:val="0069577B"/>
    <w:rsid w:val="006A0EB0"/>
    <w:rsid w:val="006C3F35"/>
    <w:rsid w:val="006E1109"/>
    <w:rsid w:val="006E3152"/>
    <w:rsid w:val="006F2FB4"/>
    <w:rsid w:val="007024C4"/>
    <w:rsid w:val="0070699F"/>
    <w:rsid w:val="00706A21"/>
    <w:rsid w:val="007165B3"/>
    <w:rsid w:val="00717A2A"/>
    <w:rsid w:val="00726BA7"/>
    <w:rsid w:val="0073161A"/>
    <w:rsid w:val="007412F2"/>
    <w:rsid w:val="00742BE0"/>
    <w:rsid w:val="0075676B"/>
    <w:rsid w:val="00761923"/>
    <w:rsid w:val="007622A2"/>
    <w:rsid w:val="00764DD5"/>
    <w:rsid w:val="007863EB"/>
    <w:rsid w:val="007D3B96"/>
    <w:rsid w:val="007F4E07"/>
    <w:rsid w:val="008003BE"/>
    <w:rsid w:val="00811B3F"/>
    <w:rsid w:val="00817270"/>
    <w:rsid w:val="00825990"/>
    <w:rsid w:val="00896B78"/>
    <w:rsid w:val="008A09EE"/>
    <w:rsid w:val="008A2ADF"/>
    <w:rsid w:val="008B1A62"/>
    <w:rsid w:val="008B7F88"/>
    <w:rsid w:val="008C340B"/>
    <w:rsid w:val="008C5A7F"/>
    <w:rsid w:val="008D547D"/>
    <w:rsid w:val="008E0643"/>
    <w:rsid w:val="008F574E"/>
    <w:rsid w:val="00906A9B"/>
    <w:rsid w:val="00906E85"/>
    <w:rsid w:val="0091328E"/>
    <w:rsid w:val="00916936"/>
    <w:rsid w:val="009405FC"/>
    <w:rsid w:val="00947ECC"/>
    <w:rsid w:val="00955393"/>
    <w:rsid w:val="00963E9F"/>
    <w:rsid w:val="00972B57"/>
    <w:rsid w:val="00996A41"/>
    <w:rsid w:val="009A5B3E"/>
    <w:rsid w:val="009E5565"/>
    <w:rsid w:val="009F1E00"/>
    <w:rsid w:val="00A43210"/>
    <w:rsid w:val="00A53486"/>
    <w:rsid w:val="00A636E1"/>
    <w:rsid w:val="00A95F5A"/>
    <w:rsid w:val="00AA790A"/>
    <w:rsid w:val="00AB7854"/>
    <w:rsid w:val="00AC07C2"/>
    <w:rsid w:val="00AC692E"/>
    <w:rsid w:val="00AE4634"/>
    <w:rsid w:val="00AE5BB3"/>
    <w:rsid w:val="00AF65AD"/>
    <w:rsid w:val="00B032A2"/>
    <w:rsid w:val="00B327AB"/>
    <w:rsid w:val="00B41B17"/>
    <w:rsid w:val="00B57C76"/>
    <w:rsid w:val="00B61CBD"/>
    <w:rsid w:val="00B64CD4"/>
    <w:rsid w:val="00B87CE2"/>
    <w:rsid w:val="00BA2F07"/>
    <w:rsid w:val="00BD3D48"/>
    <w:rsid w:val="00BD6C6F"/>
    <w:rsid w:val="00BE75EE"/>
    <w:rsid w:val="00C03726"/>
    <w:rsid w:val="00C44BDA"/>
    <w:rsid w:val="00C5334D"/>
    <w:rsid w:val="00C535A0"/>
    <w:rsid w:val="00C5454A"/>
    <w:rsid w:val="00C6111A"/>
    <w:rsid w:val="00C64FD1"/>
    <w:rsid w:val="00C72296"/>
    <w:rsid w:val="00C73039"/>
    <w:rsid w:val="00CB5D48"/>
    <w:rsid w:val="00CD6581"/>
    <w:rsid w:val="00CF63B7"/>
    <w:rsid w:val="00CF6FB6"/>
    <w:rsid w:val="00D15959"/>
    <w:rsid w:val="00D30341"/>
    <w:rsid w:val="00D42A1E"/>
    <w:rsid w:val="00D54987"/>
    <w:rsid w:val="00D66ED8"/>
    <w:rsid w:val="00D74AF5"/>
    <w:rsid w:val="00D76F7A"/>
    <w:rsid w:val="00D77495"/>
    <w:rsid w:val="00DA2656"/>
    <w:rsid w:val="00DA4C7C"/>
    <w:rsid w:val="00DB0D8A"/>
    <w:rsid w:val="00DB648F"/>
    <w:rsid w:val="00DF3ED6"/>
    <w:rsid w:val="00E01EB9"/>
    <w:rsid w:val="00E02B10"/>
    <w:rsid w:val="00E03C5C"/>
    <w:rsid w:val="00E0505E"/>
    <w:rsid w:val="00E164CE"/>
    <w:rsid w:val="00E17496"/>
    <w:rsid w:val="00E36358"/>
    <w:rsid w:val="00E636CD"/>
    <w:rsid w:val="00E87E63"/>
    <w:rsid w:val="00E95788"/>
    <w:rsid w:val="00E97F84"/>
    <w:rsid w:val="00EA71BB"/>
    <w:rsid w:val="00EB13F4"/>
    <w:rsid w:val="00ED0737"/>
    <w:rsid w:val="00F00031"/>
    <w:rsid w:val="00F063C6"/>
    <w:rsid w:val="00F20C57"/>
    <w:rsid w:val="00F3101B"/>
    <w:rsid w:val="00F31417"/>
    <w:rsid w:val="00F410C6"/>
    <w:rsid w:val="00F42EF3"/>
    <w:rsid w:val="00F47EBE"/>
    <w:rsid w:val="00F8509F"/>
    <w:rsid w:val="00F97261"/>
    <w:rsid w:val="00F97C6A"/>
    <w:rsid w:val="00FD5625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80F91"/>
  <w15:chartTrackingRefBased/>
  <w15:docId w15:val="{EC74F36F-8DF5-0F48-8CFD-8AFA5E5F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CD4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8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748D"/>
  </w:style>
  <w:style w:type="paragraph" w:styleId="Footer">
    <w:name w:val="footer"/>
    <w:basedOn w:val="Normal"/>
    <w:link w:val="FooterChar"/>
    <w:uiPriority w:val="99"/>
    <w:unhideWhenUsed/>
    <w:rsid w:val="0066748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748D"/>
  </w:style>
  <w:style w:type="paragraph" w:customStyle="1" w:styleId="BasicParagraph">
    <w:name w:val="[Basic Paragraph]"/>
    <w:basedOn w:val="Normal"/>
    <w:uiPriority w:val="99"/>
    <w:rsid w:val="00405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2F25E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AgendaItem">
    <w:name w:val="Agenda Item"/>
    <w:basedOn w:val="ListParagraph"/>
    <w:qFormat/>
    <w:rsid w:val="00D74AF5"/>
    <w:pPr>
      <w:numPr>
        <w:numId w:val="3"/>
      </w:numPr>
      <w:snapToGrid w:val="0"/>
      <w:spacing w:beforeLines="100" w:before="100"/>
      <w:ind w:left="576" w:hanging="576"/>
      <w:contextualSpacing w:val="0"/>
    </w:pPr>
    <w:rPr>
      <w:rFonts w:ascii="Baskerville" w:hAnsi="Baskerville"/>
    </w:rPr>
  </w:style>
  <w:style w:type="paragraph" w:customStyle="1" w:styleId="AgendaSubitem">
    <w:name w:val="Agenda Subitem"/>
    <w:basedOn w:val="AgendaItem"/>
    <w:qFormat/>
    <w:rsid w:val="00A636E1"/>
    <w:pPr>
      <w:numPr>
        <w:ilvl w:val="1"/>
      </w:numPr>
      <w:spacing w:beforeLines="25" w:before="25"/>
      <w:ind w:left="950" w:hanging="475"/>
    </w:pPr>
  </w:style>
  <w:style w:type="character" w:styleId="Hyperlink">
    <w:name w:val="Hyperlink"/>
    <w:basedOn w:val="DefaultParagraphFont"/>
    <w:uiPriority w:val="99"/>
    <w:unhideWhenUsed/>
    <w:rsid w:val="00546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61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8B"/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8B"/>
    <w:rPr>
      <w:rFonts w:ascii="PMingLiU" w:eastAsia="PMingLiU" w:hAnsi="Times New Roman" w:cs="Times New Roman"/>
      <w:sz w:val="18"/>
      <w:szCs w:val="18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B61CBD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2B03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3E9F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963E9F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us-west-2.amazonaws.com/uw-s3-cdn/wp-content/uploads/sites/162/2020/12/08164720/FY-2021-ABB-Allocation-Table-November-Distribu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685462578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handel_uw/Library/Group%20Containers/UBF8T346G9.Office/User%20Content.localized/Templates.localized/AL&amp;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AL&amp;L letterhead.dotx</Template>
  <TotalTime>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Zev Handel</cp:lastModifiedBy>
  <cp:revision>11</cp:revision>
  <cp:lastPrinted>2020-10-07T18:32:00Z</cp:lastPrinted>
  <dcterms:created xsi:type="dcterms:W3CDTF">2021-04-03T22:10:00Z</dcterms:created>
  <dcterms:modified xsi:type="dcterms:W3CDTF">2021-04-07T00:06:00Z</dcterms:modified>
</cp:coreProperties>
</file>